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2A88E" w14:textId="77777777" w:rsidR="00D3664C" w:rsidRPr="00F10DB9" w:rsidRDefault="00D3664C" w:rsidP="00D3664C">
      <w:pPr>
        <w:pStyle w:val="a7"/>
        <w:ind w:firstLine="720"/>
        <w:jc w:val="both"/>
        <w:rPr>
          <w:rFonts w:ascii="Times New Roman" w:hAnsi="Times New Roman" w:cs="Times New Roman"/>
          <w:sz w:val="26"/>
          <w:szCs w:val="26"/>
          <w:lang w:val="uk-UA"/>
        </w:rPr>
      </w:pPr>
      <w:r w:rsidRPr="00F10DB9">
        <w:rPr>
          <w:rFonts w:ascii="Times New Roman" w:hAnsi="Times New Roman" w:cs="Times New Roman"/>
          <w:sz w:val="26"/>
          <w:szCs w:val="26"/>
          <w:lang w:val="uk-UA"/>
        </w:rPr>
        <w:t>Основною умовою призначення пенсії є наявність необхідної кількості стажу. Основним документом, який підтверджує стаж роботи до 01.01.2004 року є трудова книжка, після 2004 року стаж рахується на підставі даних, що містяться в системі персоніфікованого обліку Пенсійного фонду. Однак, існують випадки, коли при оформленні трудових книжок, чи окремих записів у ній, допускаються певні помилки, які стають приводом для не зарахування Пенсійним фондом всього трудового стажу (до 01.01.2004 року) чи окремого періоду стажу. Такими помилками зокрема є: виправлення у даті прийняття чи звільнення з роботи, виправлення наказу про прийняття чи звільнення з роботи, відсутність печатки після запису про звільнення з роботи, запис про звільнення завірений печаткою з логотипом «УРСР» після 1993 року, чи без ідентифікаційного коду підприємства після 1996 року тощо).</w:t>
      </w:r>
    </w:p>
    <w:p w14:paraId="09490BE8" w14:textId="77777777" w:rsidR="00D3664C" w:rsidRPr="00F10DB9" w:rsidRDefault="00D3664C" w:rsidP="00D3664C">
      <w:pPr>
        <w:pStyle w:val="a7"/>
        <w:ind w:firstLine="720"/>
        <w:jc w:val="both"/>
        <w:rPr>
          <w:rFonts w:ascii="Times New Roman" w:hAnsi="Times New Roman" w:cs="Times New Roman"/>
          <w:sz w:val="26"/>
          <w:szCs w:val="26"/>
          <w:lang w:val="uk-UA"/>
        </w:rPr>
      </w:pPr>
      <w:r w:rsidRPr="00F10DB9">
        <w:rPr>
          <w:rFonts w:ascii="Times New Roman" w:hAnsi="Times New Roman" w:cs="Times New Roman"/>
          <w:sz w:val="26"/>
          <w:szCs w:val="26"/>
          <w:lang w:val="uk-UA"/>
        </w:rPr>
        <w:t>Існують два шляхи вирішення даної проблеми – досудове вирішення спору (отримання довідок про підтвердження стажу роботи) та судовий порядок врегулювання спору (зобов’язати Пенсійний фонд зарахувати стаж роботи).</w:t>
      </w:r>
    </w:p>
    <w:p w14:paraId="39C2111C" w14:textId="47135820" w:rsidR="00102B03" w:rsidRPr="00F10DB9" w:rsidRDefault="00102B03" w:rsidP="00D3664C">
      <w:pPr>
        <w:shd w:val="clear" w:color="auto" w:fill="FFFFFF"/>
        <w:spacing w:line="240" w:lineRule="auto"/>
        <w:ind w:firstLine="720"/>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Пенсійний фонд роз’яснив особливості підтвердження трудового стажу, «заробленого» до 2004 р.</w:t>
      </w:r>
    </w:p>
    <w:p w14:paraId="65172ED2" w14:textId="77777777" w:rsidR="00102B03" w:rsidRPr="00F10DB9" w:rsidRDefault="00102B03" w:rsidP="00102B03">
      <w:pPr>
        <w:shd w:val="clear" w:color="auto" w:fill="FFFFFF"/>
        <w:spacing w:line="240" w:lineRule="auto"/>
        <w:jc w:val="right"/>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lang w:val="uk-UA" w:eastAsia="ru-UA"/>
          <w14:ligatures w14:val="none"/>
        </w:rPr>
        <w:t>Таблиця 1</w:t>
      </w:r>
    </w:p>
    <w:p w14:paraId="456C0B5A" w14:textId="77777777" w:rsidR="00102B03" w:rsidRPr="00F10DB9" w:rsidRDefault="00102B03" w:rsidP="00102B03">
      <w:pPr>
        <w:shd w:val="clear" w:color="auto" w:fill="FFFFFF"/>
        <w:spacing w:line="240" w:lineRule="auto"/>
        <w:jc w:val="center"/>
        <w:textAlignment w:val="baseline"/>
        <w:outlineLvl w:val="1"/>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color w:val="333333"/>
          <w:kern w:val="0"/>
          <w:sz w:val="26"/>
          <w:szCs w:val="26"/>
          <w:lang w:val="uk-UA" w:eastAsia="ru-UA"/>
          <w14:ligatures w14:val="none"/>
        </w:rPr>
        <w:t>Документи для підтвердження трудового стажу</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177"/>
        <w:gridCol w:w="5723"/>
      </w:tblGrid>
      <w:tr w:rsidR="00102B03" w:rsidRPr="00F10DB9" w14:paraId="08F2F489" w14:textId="77777777" w:rsidTr="00102B0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5CFC4619" w14:textId="77777777" w:rsidR="00102B03" w:rsidRPr="00F10DB9" w:rsidRDefault="00102B03" w:rsidP="00102B03">
            <w:pPr>
              <w:spacing w:after="0" w:line="240" w:lineRule="auto"/>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Якщо в трудовій книжці відсутні записи про періоди роботи до 01.01.2004 або є виправлення, або неточні записи, </w:t>
            </w:r>
            <w:r w:rsidRPr="00F10DB9">
              <w:rPr>
                <w:rFonts w:ascii="Times New Roman" w:eastAsia="Times New Roman" w:hAnsi="Times New Roman" w:cs="Times New Roman"/>
                <w:i/>
                <w:iCs/>
                <w:color w:val="333333"/>
                <w:kern w:val="0"/>
                <w:sz w:val="26"/>
                <w:szCs w:val="26"/>
                <w:bdr w:val="none" w:sz="0" w:space="0" w:color="auto" w:frame="1"/>
                <w:lang w:val="uk-UA" w:eastAsia="ru-UA"/>
                <w14:ligatures w14:val="none"/>
              </w:rPr>
              <w:t>трудовий стаж можна підтвердити наступними документами: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551A1515"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довідками з посиланнями на відповідні накази про прийняття на роботу та звільнення з роботи;</w:t>
            </w:r>
          </w:p>
          <w:p w14:paraId="64A7A4F6" w14:textId="77777777" w:rsidR="00102B03" w:rsidRPr="00F10DB9" w:rsidRDefault="00102B03" w:rsidP="00102B03">
            <w:pPr>
              <w:spacing w:after="0" w:line="240" w:lineRule="auto"/>
              <w:jc w:val="both"/>
              <w:textAlignment w:val="baseline"/>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 особовими рахунками і відомостям про нарахування заробітної плати (довідками зазначеного зразка за </w:t>
            </w:r>
            <w:hyperlink r:id="rId5" w:anchor="n12" w:tgtFrame="_blank" w:history="1">
              <w:r w:rsidRPr="00F10DB9">
                <w:rPr>
                  <w:rFonts w:ascii="Times New Roman" w:eastAsia="Times New Roman" w:hAnsi="Times New Roman" w:cs="Times New Roman"/>
                  <w:kern w:val="0"/>
                  <w:sz w:val="26"/>
                  <w:szCs w:val="26"/>
                  <w:bdr w:val="none" w:sz="0" w:space="0" w:color="auto" w:frame="1"/>
                  <w:lang w:val="uk-UA" w:eastAsia="ru-UA"/>
                  <w14:ligatures w14:val="none"/>
                </w:rPr>
                <w:t>Порядком подання та оформлення документів для призначення (перерахунку) пенсій відповідно до </w:t>
              </w:r>
              <w:r w:rsidRPr="00F10DB9">
                <w:rPr>
                  <w:rFonts w:ascii="Times New Roman" w:eastAsia="Times New Roman" w:hAnsi="Times New Roman" w:cs="Times New Roman"/>
                  <w:kern w:val="0"/>
                  <w:sz w:val="26"/>
                  <w:szCs w:val="26"/>
                  <w:bdr w:val="none" w:sz="0" w:space="0" w:color="auto" w:frame="1"/>
                  <w:shd w:val="clear" w:color="auto" w:fill="FFFFFF"/>
                  <w:lang w:val="uk-UA" w:eastAsia="ru-UA"/>
                  <w14:ligatures w14:val="none"/>
                </w:rPr>
                <w:t>Закону України</w:t>
              </w:r>
              <w:r w:rsidRPr="00F10DB9">
                <w:rPr>
                  <w:rFonts w:ascii="Times New Roman" w:eastAsia="Times New Roman" w:hAnsi="Times New Roman" w:cs="Times New Roman"/>
                  <w:kern w:val="0"/>
                  <w:sz w:val="26"/>
                  <w:szCs w:val="26"/>
                  <w:bdr w:val="none" w:sz="0" w:space="0" w:color="auto" w:frame="1"/>
                  <w:lang w:val="uk-UA" w:eastAsia="ru-UA"/>
                  <w14:ligatures w14:val="none"/>
                </w:rPr>
                <w:t> «</w:t>
              </w:r>
              <w:r w:rsidRPr="00F10DB9">
                <w:rPr>
                  <w:rFonts w:ascii="Times New Roman" w:eastAsia="Times New Roman" w:hAnsi="Times New Roman" w:cs="Times New Roman"/>
                  <w:kern w:val="0"/>
                  <w:sz w:val="26"/>
                  <w:szCs w:val="26"/>
                  <w:bdr w:val="none" w:sz="0" w:space="0" w:color="auto" w:frame="1"/>
                  <w:shd w:val="clear" w:color="auto" w:fill="FFFFFF"/>
                  <w:lang w:val="uk-UA" w:eastAsia="ru-UA"/>
                  <w14:ligatures w14:val="none"/>
                </w:rPr>
                <w:t>Про загальнообов’язкове державне пенсійне страхування»</w:t>
              </w:r>
            </w:hyperlink>
            <w:r w:rsidRPr="00F10DB9">
              <w:rPr>
                <w:rFonts w:ascii="Times New Roman" w:eastAsia="Times New Roman" w:hAnsi="Times New Roman" w:cs="Times New Roman"/>
                <w:kern w:val="0"/>
                <w:sz w:val="26"/>
                <w:szCs w:val="26"/>
                <w:lang w:val="uk-UA" w:eastAsia="ru-UA"/>
                <w14:ligatures w14:val="none"/>
              </w:rPr>
              <w:t>, затвердженого постановою правління Пенсійного фонду України від 25.11.2005 р. № 221, та копіями архівних документів);</w:t>
            </w:r>
          </w:p>
          <w:p w14:paraId="0E706582"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посвідченнями, характеристиками, письмовими трудовими договорами і угодами з відмітками про їх виконання та іншими документами, які містять відомості про періоди роботи.</w:t>
            </w:r>
          </w:p>
        </w:tc>
      </w:tr>
    </w:tbl>
    <w:p w14:paraId="6B9BEA1C" w14:textId="77777777" w:rsidR="00102B03" w:rsidRPr="00F10DB9" w:rsidRDefault="00102B03"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i/>
          <w:iCs/>
          <w:color w:val="333333"/>
          <w:kern w:val="0"/>
          <w:sz w:val="26"/>
          <w:szCs w:val="26"/>
          <w:lang w:val="uk-UA" w:eastAsia="ru-UA"/>
          <w14:ligatures w14:val="none"/>
        </w:rPr>
        <w:t>Зверніть увагу!</w:t>
      </w:r>
      <w:r w:rsidRPr="00F10DB9">
        <w:rPr>
          <w:rFonts w:ascii="Times New Roman" w:eastAsia="Times New Roman" w:hAnsi="Times New Roman" w:cs="Times New Roman"/>
          <w:color w:val="333333"/>
          <w:kern w:val="0"/>
          <w:sz w:val="26"/>
          <w:szCs w:val="26"/>
          <w:lang w:val="uk-UA" w:eastAsia="ru-UA"/>
          <w14:ligatures w14:val="none"/>
        </w:rPr>
        <w:t> За відсутності зазначених документів, приймаються членські квитки профспілок. При цьому, періоди роботи підтверджуються лише за той час, за який є відмітки про сплату членських внесків.</w:t>
      </w:r>
    </w:p>
    <w:p w14:paraId="577112CE" w14:textId="77777777" w:rsidR="00102B03" w:rsidRPr="00F10DB9" w:rsidRDefault="00102B03" w:rsidP="00102B03">
      <w:pPr>
        <w:shd w:val="clear" w:color="auto" w:fill="FFFFFF"/>
        <w:spacing w:line="240" w:lineRule="auto"/>
        <w:jc w:val="right"/>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lang w:val="uk-UA" w:eastAsia="ru-UA"/>
          <w14:ligatures w14:val="none"/>
        </w:rPr>
        <w:t>Таблиця 2</w:t>
      </w:r>
    </w:p>
    <w:p w14:paraId="27EB5290" w14:textId="77777777" w:rsidR="00102B03" w:rsidRPr="00F10DB9" w:rsidRDefault="00102B03" w:rsidP="00102B03">
      <w:pPr>
        <w:shd w:val="clear" w:color="auto" w:fill="FFFFFF"/>
        <w:spacing w:line="240" w:lineRule="auto"/>
        <w:jc w:val="center"/>
        <w:textAlignment w:val="baseline"/>
        <w:outlineLvl w:val="1"/>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color w:val="333333"/>
          <w:kern w:val="0"/>
          <w:sz w:val="26"/>
          <w:szCs w:val="26"/>
          <w:lang w:val="uk-UA" w:eastAsia="ru-UA"/>
          <w14:ligatures w14:val="none"/>
        </w:rPr>
        <w:t>Куди звернутись для підтвердження стажу?</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968"/>
        <w:gridCol w:w="6932"/>
      </w:tblGrid>
      <w:tr w:rsidR="00102B03" w:rsidRPr="00F10DB9" w14:paraId="4A652354" w14:textId="77777777" w:rsidTr="00102B03">
        <w:tc>
          <w:tcPr>
            <w:tcW w:w="29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09CB1D1B" w14:textId="77777777" w:rsidR="00102B03" w:rsidRPr="00F10DB9" w:rsidRDefault="00102B03" w:rsidP="00102B03">
            <w:pPr>
              <w:spacing w:after="0" w:line="240" w:lineRule="auto"/>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bdr w:val="none" w:sz="0" w:space="0" w:color="auto" w:frame="1"/>
                <w:lang w:val="uk-UA" w:eastAsia="ru-UA"/>
                <w14:ligatures w14:val="none"/>
              </w:rPr>
              <w:lastRenderedPageBreak/>
              <w:t>Для підтвердження стажу необхідно звернутись:</w:t>
            </w:r>
          </w:p>
        </w:tc>
        <w:tc>
          <w:tcPr>
            <w:tcW w:w="679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50285087" w14:textId="77777777" w:rsidR="00102B03" w:rsidRPr="00F10DB9" w:rsidRDefault="00102B03" w:rsidP="00102B03">
            <w:pPr>
              <w:spacing w:before="180" w:after="180" w:line="240" w:lineRule="auto"/>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на підприємство (або до правонаступника), де особа працювала;</w:t>
            </w:r>
          </w:p>
          <w:p w14:paraId="35A61BF7" w14:textId="77777777" w:rsidR="00102B03" w:rsidRPr="00F10DB9" w:rsidRDefault="00102B03" w:rsidP="00102B03">
            <w:pPr>
              <w:spacing w:before="180" w:after="180" w:line="240" w:lineRule="auto"/>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якщо підприємство припинило діяльність, то до архівної установи у тій місцевості, де людина працювала;</w:t>
            </w:r>
          </w:p>
          <w:p w14:paraId="408BB32A" w14:textId="77777777" w:rsidR="00102B03" w:rsidRPr="00F10DB9" w:rsidRDefault="00102B03" w:rsidP="00102B03">
            <w:pPr>
              <w:spacing w:before="180" w:after="180" w:line="240" w:lineRule="auto"/>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до органів ПФУ, за умови надання інформації про місця знаходження підприємства/установи, до якої необхідно направити запит та копій документів особи, яка потребує допомоги.</w:t>
            </w:r>
          </w:p>
        </w:tc>
      </w:tr>
    </w:tbl>
    <w:p w14:paraId="7E6B1C8D" w14:textId="77777777" w:rsidR="00102B03" w:rsidRPr="00F10DB9" w:rsidRDefault="00102B03" w:rsidP="00102B03">
      <w:pPr>
        <w:shd w:val="clear" w:color="auto" w:fill="FFFFFF"/>
        <w:spacing w:after="0" w:line="240" w:lineRule="auto"/>
        <w:jc w:val="right"/>
        <w:textAlignment w:val="baseline"/>
        <w:rPr>
          <w:rFonts w:ascii="Times New Roman" w:eastAsia="Times New Roman" w:hAnsi="Times New Roman" w:cs="Times New Roman"/>
          <w:i/>
          <w:iCs/>
          <w:color w:val="333333"/>
          <w:kern w:val="0"/>
          <w:sz w:val="26"/>
          <w:szCs w:val="26"/>
          <w:bdr w:val="none" w:sz="0" w:space="0" w:color="auto" w:frame="1"/>
          <w:lang w:val="uk-UA" w:eastAsia="ru-UA"/>
          <w14:ligatures w14:val="none"/>
        </w:rPr>
      </w:pPr>
    </w:p>
    <w:p w14:paraId="3ED27B81" w14:textId="77777777" w:rsidR="00102B03" w:rsidRPr="00F10DB9" w:rsidRDefault="00102B03" w:rsidP="00102B03">
      <w:pPr>
        <w:shd w:val="clear" w:color="auto" w:fill="FFFFFF"/>
        <w:spacing w:after="0" w:line="240" w:lineRule="auto"/>
        <w:jc w:val="right"/>
        <w:textAlignment w:val="baseline"/>
        <w:rPr>
          <w:rFonts w:ascii="Times New Roman" w:eastAsia="Times New Roman" w:hAnsi="Times New Roman" w:cs="Times New Roman"/>
          <w:i/>
          <w:iCs/>
          <w:color w:val="333333"/>
          <w:kern w:val="0"/>
          <w:sz w:val="26"/>
          <w:szCs w:val="26"/>
          <w:bdr w:val="none" w:sz="0" w:space="0" w:color="auto" w:frame="1"/>
          <w:lang w:val="uk-UA" w:eastAsia="ru-UA"/>
          <w14:ligatures w14:val="none"/>
        </w:rPr>
      </w:pPr>
    </w:p>
    <w:p w14:paraId="25093BE3" w14:textId="0B60A1BC" w:rsidR="00102B03" w:rsidRPr="00F10DB9" w:rsidRDefault="00102B03" w:rsidP="00102B03">
      <w:pPr>
        <w:shd w:val="clear" w:color="auto" w:fill="FFFFFF"/>
        <w:spacing w:after="0" w:line="240" w:lineRule="auto"/>
        <w:jc w:val="right"/>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bdr w:val="none" w:sz="0" w:space="0" w:color="auto" w:frame="1"/>
          <w:lang w:val="uk-UA" w:eastAsia="ru-UA"/>
          <w14:ligatures w14:val="none"/>
        </w:rPr>
        <w:t>Таблиця 3</w:t>
      </w:r>
    </w:p>
    <w:p w14:paraId="6E4B3C4B" w14:textId="77777777" w:rsidR="00102B03" w:rsidRPr="00F10DB9" w:rsidRDefault="00102B03" w:rsidP="00102B03">
      <w:pPr>
        <w:shd w:val="clear" w:color="auto" w:fill="FFFFFF"/>
        <w:spacing w:after="0" w:line="240" w:lineRule="auto"/>
        <w:jc w:val="center"/>
        <w:textAlignment w:val="baseline"/>
        <w:outlineLvl w:val="1"/>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color w:val="333333"/>
          <w:kern w:val="0"/>
          <w:sz w:val="26"/>
          <w:szCs w:val="26"/>
          <w:bdr w:val="none" w:sz="0" w:space="0" w:color="auto" w:frame="1"/>
          <w:lang w:val="uk-UA" w:eastAsia="ru-UA"/>
          <w14:ligatures w14:val="none"/>
        </w:rPr>
        <w:t>Період навчання та трудовий стаж</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984"/>
        <w:gridCol w:w="6916"/>
      </w:tblGrid>
      <w:tr w:rsidR="00102B03" w:rsidRPr="00F10DB9" w14:paraId="314A3CF4" w14:textId="77777777" w:rsidTr="00102B03">
        <w:tc>
          <w:tcPr>
            <w:tcW w:w="292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5754F85D" w14:textId="77777777" w:rsidR="00102B03" w:rsidRPr="00F10DB9" w:rsidRDefault="00102B03" w:rsidP="00102B03">
            <w:pPr>
              <w:spacing w:after="0" w:line="240" w:lineRule="auto"/>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bdr w:val="none" w:sz="0" w:space="0" w:color="auto" w:frame="1"/>
                <w:lang w:val="uk-UA" w:eastAsia="ru-UA"/>
                <w14:ligatures w14:val="none"/>
              </w:rPr>
              <w:t>Період навчання</w:t>
            </w:r>
            <w:r w:rsidRPr="00F10DB9">
              <w:rPr>
                <w:rFonts w:ascii="Times New Roman" w:eastAsia="Times New Roman" w:hAnsi="Times New Roman" w:cs="Times New Roman"/>
                <w:color w:val="333333"/>
                <w:kern w:val="0"/>
                <w:sz w:val="26"/>
                <w:szCs w:val="26"/>
                <w:lang w:val="uk-UA" w:eastAsia="ru-UA"/>
                <w14:ligatures w14:val="none"/>
              </w:rPr>
              <w:t> у вищих навчальних, професійних навчально-виховних закладах, навчальних закладах підвищення кваліфікації та перепідготовки кадрів, в аспірантурі, докторантурі та клінічній ординатурі підтверджується:</w:t>
            </w:r>
          </w:p>
        </w:tc>
        <w:tc>
          <w:tcPr>
            <w:tcW w:w="67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71C8F002"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дипломами;</w:t>
            </w:r>
          </w:p>
          <w:p w14:paraId="44AC6FF7"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посвідченнями;</w:t>
            </w:r>
          </w:p>
          <w:p w14:paraId="26503EA8"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xml:space="preserve">- </w:t>
            </w:r>
            <w:proofErr w:type="spellStart"/>
            <w:r w:rsidRPr="00F10DB9">
              <w:rPr>
                <w:rFonts w:ascii="Times New Roman" w:eastAsia="Times New Roman" w:hAnsi="Times New Roman" w:cs="Times New Roman"/>
                <w:color w:val="333333"/>
                <w:kern w:val="0"/>
                <w:sz w:val="26"/>
                <w:szCs w:val="26"/>
                <w:lang w:val="uk-UA" w:eastAsia="ru-UA"/>
                <w14:ligatures w14:val="none"/>
              </w:rPr>
              <w:t>свідоцтвами</w:t>
            </w:r>
            <w:proofErr w:type="spellEnd"/>
            <w:r w:rsidRPr="00F10DB9">
              <w:rPr>
                <w:rFonts w:ascii="Times New Roman" w:eastAsia="Times New Roman" w:hAnsi="Times New Roman" w:cs="Times New Roman"/>
                <w:color w:val="333333"/>
                <w:kern w:val="0"/>
                <w:sz w:val="26"/>
                <w:szCs w:val="26"/>
                <w:lang w:val="uk-UA" w:eastAsia="ru-UA"/>
                <w14:ligatures w14:val="none"/>
              </w:rPr>
              <w:t>;</w:t>
            </w:r>
          </w:p>
          <w:p w14:paraId="6F808A65"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довідками та іншими документами, що видані на підставі архівних даних і містять відомості про періоди навчання та відомості про тривалість навчання за умови, що в документах є дані про закінчення повного навчального періоду або окремих його етапів.</w:t>
            </w:r>
          </w:p>
        </w:tc>
      </w:tr>
    </w:tbl>
    <w:p w14:paraId="54F63413" w14:textId="77777777" w:rsidR="00D3664C" w:rsidRPr="00F10DB9" w:rsidRDefault="00D3664C" w:rsidP="00102B03">
      <w:pPr>
        <w:shd w:val="clear" w:color="auto" w:fill="FFFFFF"/>
        <w:spacing w:line="240" w:lineRule="auto"/>
        <w:jc w:val="right"/>
        <w:textAlignment w:val="baseline"/>
        <w:rPr>
          <w:rFonts w:ascii="Times New Roman" w:eastAsia="Times New Roman" w:hAnsi="Times New Roman" w:cs="Times New Roman"/>
          <w:i/>
          <w:iCs/>
          <w:color w:val="333333"/>
          <w:kern w:val="0"/>
          <w:sz w:val="26"/>
          <w:szCs w:val="26"/>
          <w:lang w:val="uk-UA" w:eastAsia="ru-UA"/>
          <w14:ligatures w14:val="none"/>
        </w:rPr>
      </w:pPr>
    </w:p>
    <w:p w14:paraId="081124A7" w14:textId="3F3E52AB" w:rsidR="00102B03" w:rsidRPr="00F10DB9" w:rsidRDefault="00102B03" w:rsidP="00102B03">
      <w:pPr>
        <w:shd w:val="clear" w:color="auto" w:fill="FFFFFF"/>
        <w:spacing w:line="240" w:lineRule="auto"/>
        <w:jc w:val="right"/>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lang w:val="uk-UA" w:eastAsia="ru-UA"/>
          <w14:ligatures w14:val="none"/>
        </w:rPr>
        <w:t>Таблиця 4</w:t>
      </w:r>
    </w:p>
    <w:p w14:paraId="14B7BD23" w14:textId="77777777" w:rsidR="00102B03" w:rsidRPr="00F10DB9" w:rsidRDefault="00102B03" w:rsidP="00102B03">
      <w:pPr>
        <w:shd w:val="clear" w:color="auto" w:fill="FFFFFF"/>
        <w:spacing w:line="240" w:lineRule="auto"/>
        <w:jc w:val="center"/>
        <w:textAlignment w:val="baseline"/>
        <w:outlineLvl w:val="1"/>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color w:val="333333"/>
          <w:kern w:val="0"/>
          <w:sz w:val="26"/>
          <w:szCs w:val="26"/>
          <w:lang w:val="uk-UA" w:eastAsia="ru-UA"/>
          <w14:ligatures w14:val="none"/>
        </w:rPr>
        <w:t>Військова служба та трудовий стаж</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907"/>
        <w:gridCol w:w="6993"/>
      </w:tblGrid>
      <w:tr w:rsidR="00102B03" w:rsidRPr="00F10DB9" w14:paraId="5661A57F" w14:textId="77777777" w:rsidTr="00102B03">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67DFB078" w14:textId="77777777" w:rsidR="00102B03" w:rsidRPr="00F10DB9" w:rsidRDefault="00102B03" w:rsidP="00102B03">
            <w:pPr>
              <w:spacing w:after="0" w:line="240" w:lineRule="auto"/>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i/>
                <w:iCs/>
                <w:color w:val="333333"/>
                <w:kern w:val="0"/>
                <w:sz w:val="26"/>
                <w:szCs w:val="26"/>
                <w:bdr w:val="none" w:sz="0" w:space="0" w:color="auto" w:frame="1"/>
                <w:lang w:val="uk-UA" w:eastAsia="ru-UA"/>
                <w14:ligatures w14:val="none"/>
              </w:rPr>
              <w:t>Період військової служби підтверджується:</w:t>
            </w:r>
          </w:p>
        </w:tc>
        <w:tc>
          <w:tcPr>
            <w:tcW w:w="68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bottom"/>
            <w:hideMark/>
          </w:tcPr>
          <w:p w14:paraId="0B81D3BF"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військовими квитками;</w:t>
            </w:r>
          </w:p>
          <w:p w14:paraId="0EA50C4C"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довідками виданими військовими комісаріатами, військовими частинами і установами системи Міноборони, Держкордону, Головного правління командуючого Національною гвардією, Управління охорони вищих посадових осіб України, органів управління інших військових формувань, що утворюються Верховною Радою України, Служби безпеки, Служби зовнішньої розвідки;</w:t>
            </w:r>
          </w:p>
          <w:p w14:paraId="6CD58524" w14:textId="77777777" w:rsidR="00102B03" w:rsidRPr="00F10DB9" w:rsidRDefault="00102B03" w:rsidP="00102B03">
            <w:pPr>
              <w:spacing w:before="180" w:after="180"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t xml:space="preserve">- довідками архівних і </w:t>
            </w:r>
            <w:proofErr w:type="spellStart"/>
            <w:r w:rsidRPr="00F10DB9">
              <w:rPr>
                <w:rFonts w:ascii="Times New Roman" w:eastAsia="Times New Roman" w:hAnsi="Times New Roman" w:cs="Times New Roman"/>
                <w:color w:val="333333"/>
                <w:kern w:val="0"/>
                <w:sz w:val="26"/>
                <w:szCs w:val="26"/>
                <w:lang w:val="uk-UA" w:eastAsia="ru-UA"/>
                <w14:ligatures w14:val="none"/>
              </w:rPr>
              <w:t>військоволікувальних</w:t>
            </w:r>
            <w:proofErr w:type="spellEnd"/>
            <w:r w:rsidRPr="00F10DB9">
              <w:rPr>
                <w:rFonts w:ascii="Times New Roman" w:eastAsia="Times New Roman" w:hAnsi="Times New Roman" w:cs="Times New Roman"/>
                <w:color w:val="333333"/>
                <w:kern w:val="0"/>
                <w:sz w:val="26"/>
                <w:szCs w:val="26"/>
                <w:lang w:val="uk-UA" w:eastAsia="ru-UA"/>
                <w14:ligatures w14:val="none"/>
              </w:rPr>
              <w:t xml:space="preserve"> установ.</w:t>
            </w:r>
          </w:p>
        </w:tc>
      </w:tr>
    </w:tbl>
    <w:p w14:paraId="7B16D6DE" w14:textId="54E647BA" w:rsidR="00102B03" w:rsidRPr="00F10DB9" w:rsidRDefault="00102B03"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noProof/>
          <w:color w:val="333333"/>
          <w:kern w:val="0"/>
          <w:sz w:val="26"/>
          <w:szCs w:val="26"/>
          <w:lang w:val="uk-UA" w:eastAsia="ru-UA"/>
          <w14:ligatures w14:val="none"/>
        </w:rPr>
        <w:drawing>
          <wp:inline distT="0" distB="0" distL="0" distR="0" wp14:anchorId="115D0CD5" wp14:editId="1DD3796F">
            <wp:extent cx="47625" cy="228600"/>
            <wp:effectExtent l="0" t="0" r="9525" b="0"/>
            <wp:docPr id="1509311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228600"/>
                    </a:xfrm>
                    <a:prstGeom prst="rect">
                      <a:avLst/>
                    </a:prstGeom>
                    <a:noFill/>
                    <a:ln>
                      <a:noFill/>
                    </a:ln>
                  </pic:spPr>
                </pic:pic>
              </a:graphicData>
            </a:graphic>
          </wp:inline>
        </w:drawing>
      </w:r>
      <w:r w:rsidRPr="00F10DB9">
        <w:rPr>
          <w:rFonts w:ascii="Times New Roman" w:eastAsia="Times New Roman" w:hAnsi="Times New Roman" w:cs="Times New Roman"/>
          <w:color w:val="333333"/>
          <w:kern w:val="0"/>
          <w:sz w:val="26"/>
          <w:szCs w:val="26"/>
          <w:lang w:val="uk-UA" w:eastAsia="ru-UA"/>
          <w14:ligatures w14:val="none"/>
        </w:rPr>
        <w:t> </w:t>
      </w:r>
      <w:r w:rsidRPr="00F10DB9">
        <w:rPr>
          <w:rFonts w:ascii="Times New Roman" w:eastAsia="Times New Roman" w:hAnsi="Times New Roman" w:cs="Times New Roman"/>
          <w:i/>
          <w:iCs/>
          <w:color w:val="333333"/>
          <w:kern w:val="0"/>
          <w:sz w:val="26"/>
          <w:szCs w:val="26"/>
          <w:lang w:val="uk-UA" w:eastAsia="ru-UA"/>
          <w14:ligatures w14:val="none"/>
        </w:rPr>
        <w:t>Військова служба у складі діючої армії, в період бойових дій, у т. ч. під час виконання інтернаціонального обов’язку, зараховується до трудового стражу</w:t>
      </w:r>
      <w:r w:rsidRPr="00F10DB9">
        <w:rPr>
          <w:rFonts w:ascii="Times New Roman" w:eastAsia="Times New Roman" w:hAnsi="Times New Roman" w:cs="Times New Roman"/>
          <w:color w:val="333333"/>
          <w:kern w:val="0"/>
          <w:sz w:val="26"/>
          <w:szCs w:val="26"/>
          <w:lang w:val="uk-UA" w:eastAsia="ru-UA"/>
          <w14:ligatures w14:val="none"/>
        </w:rPr>
        <w:t xml:space="preserve"> на підставі довідок </w:t>
      </w:r>
      <w:proofErr w:type="spellStart"/>
      <w:r w:rsidRPr="00F10DB9">
        <w:rPr>
          <w:rFonts w:ascii="Times New Roman" w:eastAsia="Times New Roman" w:hAnsi="Times New Roman" w:cs="Times New Roman"/>
          <w:color w:val="333333"/>
          <w:kern w:val="0"/>
          <w:sz w:val="26"/>
          <w:szCs w:val="26"/>
          <w:lang w:val="uk-UA" w:eastAsia="ru-UA"/>
          <w14:ligatures w14:val="none"/>
        </w:rPr>
        <w:t>військкомісаріатів</w:t>
      </w:r>
      <w:proofErr w:type="spellEnd"/>
      <w:r w:rsidRPr="00F10DB9">
        <w:rPr>
          <w:rFonts w:ascii="Times New Roman" w:eastAsia="Times New Roman" w:hAnsi="Times New Roman" w:cs="Times New Roman"/>
          <w:color w:val="333333"/>
          <w:kern w:val="0"/>
          <w:sz w:val="26"/>
          <w:szCs w:val="26"/>
          <w:lang w:val="uk-UA" w:eastAsia="ru-UA"/>
          <w14:ligatures w14:val="none"/>
        </w:rPr>
        <w:t>, які видаються в порядку, що визначається Міноборони України.</w:t>
      </w:r>
    </w:p>
    <w:p w14:paraId="363E0BC5" w14:textId="77777777" w:rsidR="00102B03" w:rsidRPr="00F10DB9" w:rsidRDefault="00102B03"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color w:val="333333"/>
          <w:kern w:val="0"/>
          <w:sz w:val="26"/>
          <w:szCs w:val="26"/>
          <w:lang w:val="uk-UA" w:eastAsia="ru-UA"/>
          <w14:ligatures w14:val="none"/>
        </w:rPr>
        <w:lastRenderedPageBreak/>
        <w:t>Для підтвердження служби в органах внутрішніх справ приймаються довідки, які видаються в порядку, що визначається МВС.</w:t>
      </w:r>
    </w:p>
    <w:p w14:paraId="055647A2" w14:textId="77777777" w:rsidR="00102B03" w:rsidRPr="00F10DB9" w:rsidRDefault="00102B03"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val="uk-UA" w:eastAsia="ru-UA"/>
          <w14:ligatures w14:val="none"/>
        </w:rPr>
      </w:pPr>
      <w:r w:rsidRPr="00F10DB9">
        <w:rPr>
          <w:rFonts w:ascii="Times New Roman" w:eastAsia="Times New Roman" w:hAnsi="Times New Roman" w:cs="Times New Roman"/>
          <w:b/>
          <w:bCs/>
          <w:i/>
          <w:iCs/>
          <w:color w:val="333333"/>
          <w:kern w:val="0"/>
          <w:sz w:val="26"/>
          <w:szCs w:val="26"/>
          <w:lang w:val="uk-UA" w:eastAsia="ru-UA"/>
          <w14:ligatures w14:val="none"/>
        </w:rPr>
        <w:t>Увага!</w:t>
      </w:r>
      <w:r w:rsidRPr="00F10DB9">
        <w:rPr>
          <w:rFonts w:ascii="Times New Roman" w:eastAsia="Times New Roman" w:hAnsi="Times New Roman" w:cs="Times New Roman"/>
          <w:color w:val="333333"/>
          <w:kern w:val="0"/>
          <w:sz w:val="26"/>
          <w:szCs w:val="26"/>
          <w:lang w:val="uk-UA" w:eastAsia="ru-UA"/>
          <w14:ligatures w14:val="none"/>
        </w:rPr>
        <w:t xml:space="preserve"> Для аналізу документів про стаж рекомендуємо подати документи на </w:t>
      </w:r>
      <w:proofErr w:type="spellStart"/>
      <w:r w:rsidRPr="00F10DB9">
        <w:rPr>
          <w:rFonts w:ascii="Times New Roman" w:eastAsia="Times New Roman" w:hAnsi="Times New Roman" w:cs="Times New Roman"/>
          <w:color w:val="333333"/>
          <w:kern w:val="0"/>
          <w:sz w:val="26"/>
          <w:szCs w:val="26"/>
          <w:lang w:val="uk-UA" w:eastAsia="ru-UA"/>
          <w14:ligatures w14:val="none"/>
        </w:rPr>
        <w:t>оцифровування</w:t>
      </w:r>
      <w:proofErr w:type="spellEnd"/>
      <w:r w:rsidRPr="00F10DB9">
        <w:rPr>
          <w:rFonts w:ascii="Times New Roman" w:eastAsia="Times New Roman" w:hAnsi="Times New Roman" w:cs="Times New Roman"/>
          <w:color w:val="333333"/>
          <w:kern w:val="0"/>
          <w:sz w:val="26"/>
          <w:szCs w:val="26"/>
          <w:lang w:val="uk-UA" w:eastAsia="ru-UA"/>
          <w14:ligatures w14:val="none"/>
        </w:rPr>
        <w:t xml:space="preserve">. Для цього необхідно за допомогою кваліфікованого електронного підпису через особистий кабінет на </w:t>
      </w:r>
      <w:proofErr w:type="spellStart"/>
      <w:r w:rsidRPr="00F10DB9">
        <w:rPr>
          <w:rFonts w:ascii="Times New Roman" w:eastAsia="Times New Roman" w:hAnsi="Times New Roman" w:cs="Times New Roman"/>
          <w:color w:val="333333"/>
          <w:kern w:val="0"/>
          <w:sz w:val="26"/>
          <w:szCs w:val="26"/>
          <w:lang w:val="uk-UA" w:eastAsia="ru-UA"/>
          <w14:ligatures w14:val="none"/>
        </w:rPr>
        <w:t>вебпорталі</w:t>
      </w:r>
      <w:proofErr w:type="spellEnd"/>
      <w:r w:rsidRPr="00F10DB9">
        <w:rPr>
          <w:rFonts w:ascii="Times New Roman" w:eastAsia="Times New Roman" w:hAnsi="Times New Roman" w:cs="Times New Roman"/>
          <w:color w:val="333333"/>
          <w:kern w:val="0"/>
          <w:sz w:val="26"/>
          <w:szCs w:val="26"/>
          <w:lang w:val="uk-UA" w:eastAsia="ru-UA"/>
          <w14:ligatures w14:val="none"/>
        </w:rPr>
        <w:t xml:space="preserve"> електронних послуг ПФУ надати заяву у меню «Комунікації з ПФУ», далі обрати вкладку «Відомості про трудові відносини» та долучити </w:t>
      </w:r>
      <w:proofErr w:type="spellStart"/>
      <w:r w:rsidRPr="00F10DB9">
        <w:rPr>
          <w:rFonts w:ascii="Times New Roman" w:eastAsia="Times New Roman" w:hAnsi="Times New Roman" w:cs="Times New Roman"/>
          <w:color w:val="333333"/>
          <w:kern w:val="0"/>
          <w:sz w:val="26"/>
          <w:szCs w:val="26"/>
          <w:lang w:val="uk-UA" w:eastAsia="ru-UA"/>
          <w14:ligatures w14:val="none"/>
        </w:rPr>
        <w:t>сканкопії</w:t>
      </w:r>
      <w:proofErr w:type="spellEnd"/>
      <w:r w:rsidRPr="00F10DB9">
        <w:rPr>
          <w:rFonts w:ascii="Times New Roman" w:eastAsia="Times New Roman" w:hAnsi="Times New Roman" w:cs="Times New Roman"/>
          <w:color w:val="333333"/>
          <w:kern w:val="0"/>
          <w:sz w:val="26"/>
          <w:szCs w:val="26"/>
          <w:lang w:val="uk-UA" w:eastAsia="ru-UA"/>
          <w14:ligatures w14:val="none"/>
        </w:rPr>
        <w:t xml:space="preserve"> документів про стаж у кольоровому вигляді.</w:t>
      </w:r>
    </w:p>
    <w:p w14:paraId="31E34499" w14:textId="77777777" w:rsidR="00D3664C" w:rsidRPr="00F10DB9" w:rsidRDefault="00D3664C" w:rsidP="00D3664C">
      <w:pPr>
        <w:pStyle w:val="a7"/>
        <w:jc w:val="both"/>
        <w:rPr>
          <w:rFonts w:ascii="Times New Roman" w:hAnsi="Times New Roman" w:cs="Times New Roman"/>
          <w:b/>
          <w:bCs/>
          <w:sz w:val="26"/>
          <w:szCs w:val="26"/>
          <w:lang w:val="uk-UA" w:eastAsia="ru-UA"/>
        </w:rPr>
      </w:pPr>
      <w:r w:rsidRPr="00F10DB9">
        <w:rPr>
          <w:rFonts w:ascii="Times New Roman" w:hAnsi="Times New Roman" w:cs="Times New Roman"/>
          <w:b/>
          <w:bCs/>
          <w:sz w:val="26"/>
          <w:szCs w:val="26"/>
          <w:lang w:val="uk-UA" w:eastAsia="ru-UA"/>
        </w:rPr>
        <w:t>Три важливі нововведення щодо пільгового стажу</w:t>
      </w:r>
    </w:p>
    <w:p w14:paraId="76CB6FBB" w14:textId="455C6826" w:rsidR="00D3664C" w:rsidRPr="00F10DB9" w:rsidRDefault="00D3664C" w:rsidP="00D3664C">
      <w:pPr>
        <w:pStyle w:val="a7"/>
        <w:numPr>
          <w:ilvl w:val="0"/>
          <w:numId w:val="3"/>
        </w:numPr>
        <w:jc w:val="both"/>
        <w:rPr>
          <w:rFonts w:ascii="Times New Roman" w:hAnsi="Times New Roman" w:cs="Times New Roman"/>
          <w:sz w:val="26"/>
          <w:szCs w:val="26"/>
          <w:lang w:val="uk-UA" w:eastAsia="ru-UA"/>
        </w:rPr>
      </w:pPr>
      <w:r w:rsidRPr="00F10DB9">
        <w:rPr>
          <w:rFonts w:ascii="Times New Roman" w:hAnsi="Times New Roman" w:cs="Times New Roman"/>
          <w:sz w:val="26"/>
          <w:szCs w:val="26"/>
          <w:lang w:val="uk-UA" w:eastAsia="ru-UA"/>
        </w:rPr>
        <w:t>Пільговий стаж підтверджується не тільки трудовою книжкою, а й документами, які уточнюють особливий характер роботи. В оновленому Порядку зазначено, що тепер для цього можна використовувати не лише  довідки, видані на підставі первинних документів, але й складені на основі даних, наявних в інформаційних (автоматизованих) та/або інформаційно-комунікаційних системах підприємств, установ, організацій.</w:t>
      </w:r>
    </w:p>
    <w:p w14:paraId="758A4414" w14:textId="3BCFFA8C" w:rsidR="00D3664C" w:rsidRPr="00F10DB9" w:rsidRDefault="00D3664C" w:rsidP="00D3664C">
      <w:pPr>
        <w:pStyle w:val="a7"/>
        <w:numPr>
          <w:ilvl w:val="0"/>
          <w:numId w:val="3"/>
        </w:numPr>
        <w:jc w:val="both"/>
        <w:rPr>
          <w:rFonts w:ascii="Times New Roman" w:hAnsi="Times New Roman" w:cs="Times New Roman"/>
          <w:sz w:val="26"/>
          <w:szCs w:val="26"/>
          <w:lang w:val="uk-UA" w:eastAsia="ru-UA"/>
        </w:rPr>
      </w:pPr>
      <w:r w:rsidRPr="00F10DB9">
        <w:rPr>
          <w:rFonts w:ascii="Times New Roman" w:hAnsi="Times New Roman" w:cs="Times New Roman"/>
          <w:sz w:val="26"/>
          <w:szCs w:val="26"/>
          <w:lang w:val="uk-UA" w:eastAsia="ru-UA"/>
        </w:rPr>
        <w:t>Офіційно дозволено підтверджувати пільговий стаж даними з реєстру застрахованих осіб у разі, якщо підприємство знаходиться не тільки в Донецьку, Луганську чи Криму, але й на інших територіях, захоплених після 24.02.2022. Раніше така норма діяла тільки для територій, тимчасово окупованих у 2014 році. </w:t>
      </w:r>
    </w:p>
    <w:p w14:paraId="5462A9E0" w14:textId="5D1A474A" w:rsidR="00D3664C" w:rsidRPr="00F10DB9" w:rsidRDefault="00D3664C" w:rsidP="00D3664C">
      <w:pPr>
        <w:pStyle w:val="a7"/>
        <w:numPr>
          <w:ilvl w:val="0"/>
          <w:numId w:val="3"/>
        </w:numPr>
        <w:jc w:val="both"/>
        <w:rPr>
          <w:rFonts w:ascii="Times New Roman" w:hAnsi="Times New Roman" w:cs="Times New Roman"/>
          <w:sz w:val="26"/>
          <w:szCs w:val="26"/>
          <w:lang w:val="uk-UA" w:eastAsia="ru-UA"/>
        </w:rPr>
      </w:pPr>
      <w:r w:rsidRPr="00F10DB9">
        <w:rPr>
          <w:rFonts w:ascii="Times New Roman" w:hAnsi="Times New Roman" w:cs="Times New Roman"/>
          <w:sz w:val="26"/>
          <w:szCs w:val="26"/>
          <w:lang w:val="uk-UA" w:eastAsia="ru-UA"/>
        </w:rPr>
        <w:t>В разі ліквідації підприємства без визначення правонаступника, пільговий стаж може підтверджуватися на спеціальних комісіях. Відтепер аналогічним чином його мають підтверджувати й у разі знищення архівів підприємств у зв’язку з бойовими діями.</w:t>
      </w:r>
    </w:p>
    <w:p w14:paraId="26005A22" w14:textId="77777777" w:rsidR="00D3664C" w:rsidRPr="00F10DB9" w:rsidRDefault="00D3664C"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eastAsia="ru-UA"/>
          <w14:ligatures w14:val="none"/>
        </w:rPr>
      </w:pPr>
    </w:p>
    <w:p w14:paraId="2788E724" w14:textId="77777777" w:rsidR="00102B03" w:rsidRPr="00F10DB9" w:rsidRDefault="00102B03" w:rsidP="00102B03">
      <w:pPr>
        <w:pStyle w:val="a7"/>
        <w:jc w:val="center"/>
        <w:rPr>
          <w:rFonts w:ascii="Times New Roman" w:hAnsi="Times New Roman" w:cs="Times New Roman"/>
          <w:b/>
          <w:bCs/>
          <w:sz w:val="26"/>
          <w:szCs w:val="26"/>
          <w:lang w:val="uk-UA"/>
        </w:rPr>
      </w:pPr>
      <w:r w:rsidRPr="00F10DB9">
        <w:rPr>
          <w:rFonts w:ascii="Times New Roman" w:hAnsi="Times New Roman" w:cs="Times New Roman"/>
          <w:b/>
          <w:bCs/>
          <w:sz w:val="26"/>
          <w:szCs w:val="26"/>
          <w:lang w:val="uk-UA"/>
        </w:rPr>
        <w:t>Порядок підтвердження трудового стажу, якщо трудова книжка залишилася на тимчасово окупованій території</w:t>
      </w:r>
    </w:p>
    <w:p w14:paraId="39F176C1" w14:textId="77777777" w:rsidR="00102B03" w:rsidRPr="00F10DB9" w:rsidRDefault="00102B03" w:rsidP="00102B03">
      <w:pPr>
        <w:pStyle w:val="a7"/>
        <w:jc w:val="both"/>
        <w:rPr>
          <w:rFonts w:ascii="Times New Roman" w:hAnsi="Times New Roman" w:cs="Times New Roman"/>
          <w:sz w:val="26"/>
          <w:szCs w:val="26"/>
          <w:lang w:val="uk-UA"/>
        </w:rPr>
      </w:pPr>
    </w:p>
    <w:p w14:paraId="423C6623" w14:textId="77777777" w:rsidR="00102B03" w:rsidRPr="00F10DB9" w:rsidRDefault="00102B03" w:rsidP="00102B03">
      <w:pPr>
        <w:pStyle w:val="a7"/>
        <w:ind w:firstLine="720"/>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Відповідно до </w:t>
      </w:r>
      <w:hyperlink r:id="rId7" w:tgtFrame="_blank" w:history="1">
        <w:r w:rsidRPr="00F10DB9">
          <w:rPr>
            <w:rFonts w:ascii="Times New Roman" w:eastAsia="Times New Roman" w:hAnsi="Times New Roman" w:cs="Times New Roman"/>
            <w:kern w:val="0"/>
            <w:sz w:val="26"/>
            <w:szCs w:val="26"/>
            <w:lang w:val="uk-UA" w:eastAsia="ru-UA"/>
            <w14:ligatures w14:val="none"/>
          </w:rPr>
          <w:t>Закону України «Про пенсійне забезпечення»</w:t>
        </w:r>
      </w:hyperlink>
      <w:r w:rsidRPr="00F10DB9">
        <w:rPr>
          <w:rFonts w:ascii="Times New Roman" w:eastAsia="Times New Roman" w:hAnsi="Times New Roman" w:cs="Times New Roman"/>
          <w:kern w:val="0"/>
          <w:sz w:val="26"/>
          <w:szCs w:val="26"/>
          <w:lang w:val="uk-UA" w:eastAsia="ru-UA"/>
          <w14:ligatures w14:val="none"/>
        </w:rPr>
        <w:t> основним документом, який підтверджує трудовий стаж, є трудова книжка. Водночас для призначення пенсії періоди роботи з 2000 року враховуються за даними персоніфікованого обліку. Ця інформація зберігається в Пенсійному фонді України і її в будь-який момент можна безкоштовно отримати в електронному вигляді:</w:t>
      </w:r>
    </w:p>
    <w:p w14:paraId="2227164C"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 через портал Пенсійного фонду України – </w:t>
      </w:r>
      <w:hyperlink r:id="rId8" w:history="1">
        <w:r w:rsidRPr="00F10DB9">
          <w:rPr>
            <w:rFonts w:ascii="Times New Roman" w:eastAsia="Times New Roman" w:hAnsi="Times New Roman" w:cs="Times New Roman"/>
            <w:kern w:val="0"/>
            <w:sz w:val="26"/>
            <w:szCs w:val="26"/>
            <w:u w:val="single"/>
            <w:lang w:val="uk-UA" w:eastAsia="ru-UA"/>
            <w14:ligatures w14:val="none"/>
          </w:rPr>
          <w:t>https://portal.pfu.gov.ua</w:t>
        </w:r>
      </w:hyperlink>
      <w:r w:rsidRPr="00F10DB9">
        <w:rPr>
          <w:rFonts w:ascii="Times New Roman" w:eastAsia="Times New Roman" w:hAnsi="Times New Roman" w:cs="Times New Roman"/>
          <w:kern w:val="0"/>
          <w:sz w:val="26"/>
          <w:szCs w:val="26"/>
          <w:lang w:val="uk-UA" w:eastAsia="ru-UA"/>
          <w14:ligatures w14:val="none"/>
        </w:rPr>
        <w:t>;</w:t>
      </w:r>
    </w:p>
    <w:p w14:paraId="508F2352"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 за допомогою мобільного застосунку «Пенсійний фонд» – </w:t>
      </w:r>
      <w:hyperlink r:id="rId9" w:history="1">
        <w:r w:rsidRPr="00F10DB9">
          <w:rPr>
            <w:rFonts w:ascii="Times New Roman" w:eastAsia="Times New Roman" w:hAnsi="Times New Roman" w:cs="Times New Roman"/>
            <w:kern w:val="0"/>
            <w:sz w:val="26"/>
            <w:szCs w:val="26"/>
            <w:u w:val="single"/>
            <w:lang w:val="uk-UA" w:eastAsia="ru-UA"/>
            <w14:ligatures w14:val="none"/>
          </w:rPr>
          <w:t>https://cutt.ly/dZD5ELG</w:t>
        </w:r>
      </w:hyperlink>
    </w:p>
    <w:p w14:paraId="1E4AE618"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Для цього необхідно:</w:t>
      </w:r>
    </w:p>
    <w:p w14:paraId="3A69F060"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 xml:space="preserve">авторизуватися в обраному е-сервісі за допомогою електронного підпису або </w:t>
      </w:r>
      <w:proofErr w:type="spellStart"/>
      <w:r w:rsidRPr="00F10DB9">
        <w:rPr>
          <w:rFonts w:ascii="Times New Roman" w:eastAsia="Times New Roman" w:hAnsi="Times New Roman" w:cs="Times New Roman"/>
          <w:kern w:val="0"/>
          <w:sz w:val="26"/>
          <w:szCs w:val="26"/>
          <w:lang w:val="uk-UA" w:eastAsia="ru-UA"/>
          <w14:ligatures w14:val="none"/>
        </w:rPr>
        <w:t>BankID</w:t>
      </w:r>
      <w:proofErr w:type="spellEnd"/>
      <w:r w:rsidRPr="00F10DB9">
        <w:rPr>
          <w:rFonts w:ascii="Times New Roman" w:eastAsia="Times New Roman" w:hAnsi="Times New Roman" w:cs="Times New Roman"/>
          <w:kern w:val="0"/>
          <w:sz w:val="26"/>
          <w:szCs w:val="26"/>
          <w:lang w:val="uk-UA" w:eastAsia="ru-UA"/>
          <w14:ligatures w14:val="none"/>
        </w:rPr>
        <w:t>;</w:t>
      </w:r>
    </w:p>
    <w:p w14:paraId="0D375B8F"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перейти до меню «Комунікації з ПФУ» та обрати «Запит на отримання електронних документів»;</w:t>
      </w:r>
    </w:p>
    <w:p w14:paraId="1FC037C5"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з-поміж типів звернення вибрати «Витяг з ЕТК», заповнити інші додаткові поля, підписати та направити.</w:t>
      </w:r>
    </w:p>
    <w:p w14:paraId="2C284A99" w14:textId="77777777" w:rsidR="00102B03" w:rsidRPr="00F10DB9" w:rsidRDefault="00102B03" w:rsidP="00102B03">
      <w:pPr>
        <w:pStyle w:val="a7"/>
        <w:ind w:firstLine="720"/>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Ознайомитися з інформацією про періоди роботи та завантажити її на свій цифровий пристрій можна буде вже за декілька хвилин у розділі «Мої звернення».</w:t>
      </w:r>
    </w:p>
    <w:p w14:paraId="20C294BE" w14:textId="77777777" w:rsidR="00102B03" w:rsidRPr="00F10DB9" w:rsidRDefault="00102B03" w:rsidP="00102B03">
      <w:pPr>
        <w:pStyle w:val="a7"/>
        <w:ind w:firstLine="720"/>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У разі, коли документи про трудовий стаж не збереглися, підтвердження трудового стажу здійснюється органами Пенсійного фонду України.</w:t>
      </w:r>
    </w:p>
    <w:p w14:paraId="63D10999" w14:textId="666254BF" w:rsidR="00102B03" w:rsidRPr="00F10DB9" w:rsidRDefault="00102B03" w:rsidP="00102B03">
      <w:pPr>
        <w:pStyle w:val="a7"/>
        <w:ind w:firstLine="720"/>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Відповідно до п. 26 </w:t>
      </w:r>
      <w:r w:rsidR="00F10DB9" w:rsidRPr="00F10DB9">
        <w:rPr>
          <w:rFonts w:ascii="Times New Roman" w:hAnsi="Times New Roman" w:cs="Times New Roman"/>
          <w:sz w:val="26"/>
          <w:szCs w:val="26"/>
          <w:lang w:val="uk-UA"/>
        </w:rPr>
        <w:t xml:space="preserve">постанови КМУ № 637 від 12.09.1993 </w:t>
      </w:r>
      <w:r w:rsidR="00F10DB9" w:rsidRPr="00F10DB9">
        <w:rPr>
          <w:rFonts w:ascii="Times New Roman" w:hAnsi="Times New Roman" w:cs="Times New Roman"/>
          <w:color w:val="333333"/>
          <w:sz w:val="26"/>
          <w:szCs w:val="26"/>
          <w:shd w:val="clear" w:color="auto" w:fill="FFFFFF"/>
          <w:lang w:val="uk-UA"/>
        </w:rPr>
        <w:t xml:space="preserve">Про затвердження Порядку підтвердження наявного стажу роботи для призначення пенсій за </w:t>
      </w:r>
      <w:r w:rsidR="00F10DB9" w:rsidRPr="00F10DB9">
        <w:rPr>
          <w:rFonts w:ascii="Times New Roman" w:hAnsi="Times New Roman" w:cs="Times New Roman"/>
          <w:color w:val="333333"/>
          <w:sz w:val="26"/>
          <w:szCs w:val="26"/>
          <w:shd w:val="clear" w:color="auto" w:fill="FFFFFF"/>
          <w:lang w:val="uk-UA"/>
        </w:rPr>
        <w:lastRenderedPageBreak/>
        <w:t>відсутності трудової книжки або відповідних записів у ній</w:t>
      </w:r>
      <w:r w:rsidRPr="00F10DB9">
        <w:rPr>
          <w:rFonts w:ascii="Times New Roman" w:eastAsia="Times New Roman" w:hAnsi="Times New Roman" w:cs="Times New Roman"/>
          <w:kern w:val="0"/>
          <w:sz w:val="26"/>
          <w:szCs w:val="26"/>
          <w:lang w:val="uk-UA" w:eastAsia="ru-UA"/>
          <w14:ligatures w14:val="none"/>
        </w:rPr>
        <w:t>, у судовому порядку може встановлюватися лише факт належності документа, що підтверджує трудовий стаж, якщо ім’я, по батькові та прізвище, які зазначені в документі, не збігаються з ім’ям, по батькові та прізвищем особи за паспортом або свідоцтвом про народження. Отже, встановлення факту наявності трудового стажу для призначення пенсії здійснюється лише органами Пенсійного фонду України під час прийняття рішення про призначення пенсії.</w:t>
      </w:r>
    </w:p>
    <w:p w14:paraId="656A24D9" w14:textId="77777777" w:rsidR="00102B03" w:rsidRPr="00F10DB9" w:rsidRDefault="00102B03" w:rsidP="00102B03">
      <w:pPr>
        <w:pStyle w:val="a7"/>
        <w:ind w:firstLine="720"/>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Таким чином, у разі відсутності в особи трудової книжки для встановлення факту наявності трудового стажу їй спочатку треба звернутись до органу Пенсійного фонду України за місцем перебування з іншими документами, які можуть підтверджувати цей факт. Наприклад, це можуть бути довідки, виписки з наказів, особові рахунки і відомості на видачу заробітної плати, посвідчення, характеристики, письмові трудові договори і угоди з відмітками про їхнє виконання та інші документи, які містять відомості про період роботи. Цей перелік документів не є вичерпним і може бути значно ширший залежно від виду роботи та специфіки.</w:t>
      </w:r>
    </w:p>
    <w:p w14:paraId="341472BF" w14:textId="77777777" w:rsidR="00102B03" w:rsidRPr="00F10DB9" w:rsidRDefault="00102B03" w:rsidP="00102B03">
      <w:pPr>
        <w:pStyle w:val="a7"/>
        <w:jc w:val="both"/>
        <w:rPr>
          <w:rFonts w:ascii="Times New Roman" w:eastAsia="Times New Roman" w:hAnsi="Times New Roman" w:cs="Times New Roman"/>
          <w:kern w:val="0"/>
          <w:sz w:val="26"/>
          <w:szCs w:val="26"/>
          <w:lang w:val="uk-UA" w:eastAsia="ru-UA"/>
          <w14:ligatures w14:val="none"/>
        </w:rPr>
      </w:pPr>
      <w:r w:rsidRPr="00F10DB9">
        <w:rPr>
          <w:rFonts w:ascii="Times New Roman" w:eastAsia="Times New Roman" w:hAnsi="Times New Roman" w:cs="Times New Roman"/>
          <w:kern w:val="0"/>
          <w:sz w:val="26"/>
          <w:szCs w:val="26"/>
          <w:lang w:val="uk-UA" w:eastAsia="ru-UA"/>
          <w14:ligatures w14:val="none"/>
        </w:rPr>
        <w:t>У разі, якщо, крім трудової книжки, в особи відсутні й всі зазначені документи, факт наявності трудового стажу встановлюється на підставі показань двох і більше свідків, які знали заявника по спільній роботі в одній установі, підприємстві або організації. Проте ця процедура застосовується тільки у разі, якщо документи про наявний страховий стаж були знищені, або якщо їх неможливо отримати у зв’язку з воєнними діями, стихійним лихом, аваріями, катастрофами або іншими надзвичайними ситуаціями.</w:t>
      </w:r>
    </w:p>
    <w:p w14:paraId="1A23CE1C" w14:textId="77777777" w:rsidR="00102B03" w:rsidRPr="00F10DB9" w:rsidRDefault="00102B03" w:rsidP="00102B03">
      <w:pPr>
        <w:shd w:val="clear" w:color="auto" w:fill="FFFFFF"/>
        <w:spacing w:line="240" w:lineRule="auto"/>
        <w:jc w:val="both"/>
        <w:textAlignment w:val="baseline"/>
        <w:rPr>
          <w:rFonts w:ascii="Times New Roman" w:eastAsia="Times New Roman" w:hAnsi="Times New Roman" w:cs="Times New Roman"/>
          <w:color w:val="333333"/>
          <w:kern w:val="0"/>
          <w:sz w:val="26"/>
          <w:szCs w:val="26"/>
          <w:lang w:eastAsia="ru-UA"/>
          <w14:ligatures w14:val="none"/>
        </w:rPr>
      </w:pPr>
    </w:p>
    <w:p w14:paraId="527EA330" w14:textId="77777777" w:rsidR="009D5562" w:rsidRPr="00F10DB9" w:rsidRDefault="009D5562">
      <w:pPr>
        <w:rPr>
          <w:rFonts w:ascii="Times New Roman" w:hAnsi="Times New Roman" w:cs="Times New Roman"/>
          <w:sz w:val="26"/>
          <w:szCs w:val="26"/>
          <w:lang w:val="uk-UA"/>
        </w:rPr>
      </w:pPr>
    </w:p>
    <w:sectPr w:rsidR="009D5562" w:rsidRPr="00F10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211B2"/>
    <w:multiLevelType w:val="multilevel"/>
    <w:tmpl w:val="090A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65763E"/>
    <w:multiLevelType w:val="multilevel"/>
    <w:tmpl w:val="0B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90372D"/>
    <w:multiLevelType w:val="hybridMultilevel"/>
    <w:tmpl w:val="0D68C9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26887044">
    <w:abstractNumId w:val="1"/>
  </w:num>
  <w:num w:numId="2" w16cid:durableId="379482530">
    <w:abstractNumId w:val="0"/>
  </w:num>
  <w:num w:numId="3" w16cid:durableId="1811558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B1"/>
    <w:rsid w:val="00072583"/>
    <w:rsid w:val="00102B03"/>
    <w:rsid w:val="001B3D61"/>
    <w:rsid w:val="00402E26"/>
    <w:rsid w:val="00440273"/>
    <w:rsid w:val="00464CB1"/>
    <w:rsid w:val="0064047E"/>
    <w:rsid w:val="009D5562"/>
    <w:rsid w:val="00D3664C"/>
    <w:rsid w:val="00F10DB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ECD8"/>
  <w15:chartTrackingRefBased/>
  <w15:docId w15:val="{CC7B4114-0810-4A09-8736-5D1B60D6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02B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2B03"/>
    <w:rPr>
      <w:rFonts w:ascii="Times New Roman" w:eastAsia="Times New Roman" w:hAnsi="Times New Roman" w:cs="Times New Roman"/>
      <w:b/>
      <w:bCs/>
      <w:kern w:val="0"/>
      <w:sz w:val="36"/>
      <w:szCs w:val="36"/>
      <w:lang w:val="ru-UA" w:eastAsia="ru-UA"/>
      <w14:ligatures w14:val="none"/>
    </w:rPr>
  </w:style>
  <w:style w:type="paragraph" w:styleId="a3">
    <w:name w:val="Normal (Web)"/>
    <w:basedOn w:val="a"/>
    <w:uiPriority w:val="99"/>
    <w:semiHidden/>
    <w:unhideWhenUsed/>
    <w:rsid w:val="00102B03"/>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Emphasis"/>
    <w:basedOn w:val="a0"/>
    <w:uiPriority w:val="20"/>
    <w:qFormat/>
    <w:rsid w:val="00102B03"/>
    <w:rPr>
      <w:i/>
      <w:iCs/>
    </w:rPr>
  </w:style>
  <w:style w:type="character" w:styleId="a5">
    <w:name w:val="Strong"/>
    <w:basedOn w:val="a0"/>
    <w:uiPriority w:val="22"/>
    <w:qFormat/>
    <w:rsid w:val="00102B03"/>
    <w:rPr>
      <w:b/>
      <w:bCs/>
    </w:rPr>
  </w:style>
  <w:style w:type="character" w:styleId="a6">
    <w:name w:val="Hyperlink"/>
    <w:basedOn w:val="a0"/>
    <w:uiPriority w:val="99"/>
    <w:semiHidden/>
    <w:unhideWhenUsed/>
    <w:rsid w:val="00102B03"/>
    <w:rPr>
      <w:color w:val="0000FF"/>
      <w:u w:val="single"/>
    </w:rPr>
  </w:style>
  <w:style w:type="paragraph" w:styleId="a7">
    <w:name w:val="No Spacing"/>
    <w:uiPriority w:val="1"/>
    <w:qFormat/>
    <w:rsid w:val="00102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93272">
      <w:bodyDiv w:val="1"/>
      <w:marLeft w:val="0"/>
      <w:marRight w:val="0"/>
      <w:marTop w:val="0"/>
      <w:marBottom w:val="0"/>
      <w:divBdr>
        <w:top w:val="none" w:sz="0" w:space="0" w:color="auto"/>
        <w:left w:val="none" w:sz="0" w:space="0" w:color="auto"/>
        <w:bottom w:val="none" w:sz="0" w:space="0" w:color="auto"/>
        <w:right w:val="none" w:sz="0" w:space="0" w:color="auto"/>
      </w:divBdr>
    </w:div>
    <w:div w:id="800341993">
      <w:bodyDiv w:val="1"/>
      <w:marLeft w:val="0"/>
      <w:marRight w:val="0"/>
      <w:marTop w:val="0"/>
      <w:marBottom w:val="0"/>
      <w:divBdr>
        <w:top w:val="none" w:sz="0" w:space="0" w:color="auto"/>
        <w:left w:val="none" w:sz="0" w:space="0" w:color="auto"/>
        <w:bottom w:val="none" w:sz="0" w:space="0" w:color="auto"/>
        <w:right w:val="none" w:sz="0" w:space="0" w:color="auto"/>
      </w:divBdr>
    </w:div>
    <w:div w:id="811557130">
      <w:bodyDiv w:val="1"/>
      <w:marLeft w:val="0"/>
      <w:marRight w:val="0"/>
      <w:marTop w:val="0"/>
      <w:marBottom w:val="0"/>
      <w:divBdr>
        <w:top w:val="none" w:sz="0" w:space="0" w:color="auto"/>
        <w:left w:val="none" w:sz="0" w:space="0" w:color="auto"/>
        <w:bottom w:val="none" w:sz="0" w:space="0" w:color="auto"/>
        <w:right w:val="none" w:sz="0" w:space="0" w:color="auto"/>
      </w:divBdr>
    </w:div>
    <w:div w:id="1119179827">
      <w:bodyDiv w:val="1"/>
      <w:marLeft w:val="0"/>
      <w:marRight w:val="0"/>
      <w:marTop w:val="0"/>
      <w:marBottom w:val="0"/>
      <w:divBdr>
        <w:top w:val="none" w:sz="0" w:space="0" w:color="auto"/>
        <w:left w:val="none" w:sz="0" w:space="0" w:color="auto"/>
        <w:bottom w:val="none" w:sz="0" w:space="0" w:color="auto"/>
        <w:right w:val="none" w:sz="0" w:space="0" w:color="auto"/>
      </w:divBdr>
    </w:div>
    <w:div w:id="1865359817">
      <w:bodyDiv w:val="1"/>
      <w:marLeft w:val="0"/>
      <w:marRight w:val="0"/>
      <w:marTop w:val="0"/>
      <w:marBottom w:val="0"/>
      <w:divBdr>
        <w:top w:val="none" w:sz="0" w:space="0" w:color="auto"/>
        <w:left w:val="none" w:sz="0" w:space="0" w:color="auto"/>
        <w:bottom w:val="none" w:sz="0" w:space="0" w:color="auto"/>
        <w:right w:val="none" w:sz="0" w:space="0" w:color="auto"/>
      </w:divBdr>
    </w:div>
    <w:div w:id="20439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fu.gov.ua/" TargetMode="External"/><Relationship Id="rId3" Type="http://schemas.openxmlformats.org/officeDocument/2006/relationships/settings" Target="settings.xml"/><Relationship Id="rId7" Type="http://schemas.openxmlformats.org/officeDocument/2006/relationships/hyperlink" Target="https://kadrovik.isu.net.ua/norm/317772-pro-zatverdzhennya-planu-zdiysnennya-kompleksnikh-zakhodiv-derzhavnogo-nagly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zakon.rada.gov.ua/laws/show/z1566-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tt.ly/dZD5ELG?fbclid=IwAR2SkCVvQeRyLtAeMNL_4qpQ8hDARkangnPU5Z-p-rtQkhH4LQE_k66Cg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Dell_3</dc:creator>
  <cp:keywords/>
  <dc:description/>
  <cp:lastModifiedBy>Dell_3</cp:lastModifiedBy>
  <cp:revision>4</cp:revision>
  <dcterms:created xsi:type="dcterms:W3CDTF">2024-05-03T08:35:00Z</dcterms:created>
  <dcterms:modified xsi:type="dcterms:W3CDTF">2024-05-03T09:14:00Z</dcterms:modified>
</cp:coreProperties>
</file>